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364"/>
      </w:tblGrid>
      <w:tr w:rsidR="00E40CD2" w:rsidRPr="00E40CD2" w14:paraId="230FDA0C" w14:textId="77777777" w:rsidTr="00484EE4">
        <w:tc>
          <w:tcPr>
            <w:tcW w:w="1701" w:type="dxa"/>
            <w:shd w:val="clear" w:color="auto" w:fill="auto"/>
          </w:tcPr>
          <w:p w14:paraId="230FDA0A" w14:textId="77777777" w:rsidR="00E40CD2" w:rsidRPr="00E40CD2" w:rsidRDefault="00E40CD2" w:rsidP="00484EE4">
            <w:pPr>
              <w:rPr>
                <w:rFonts w:ascii="Arial" w:hAnsi="Arial" w:cs="Arial"/>
                <w:b/>
                <w:sz w:val="24"/>
                <w:szCs w:val="24"/>
              </w:rPr>
            </w:pPr>
            <w:r w:rsidRPr="00E40CD2">
              <w:rPr>
                <w:rFonts w:ascii="Arial" w:hAnsi="Arial" w:cs="Arial"/>
                <w:b/>
                <w:sz w:val="24"/>
                <w:szCs w:val="24"/>
              </w:rPr>
              <w:t>Risk Assessment</w:t>
            </w:r>
          </w:p>
        </w:tc>
        <w:tc>
          <w:tcPr>
            <w:tcW w:w="8364" w:type="dxa"/>
            <w:shd w:val="clear" w:color="auto" w:fill="auto"/>
          </w:tcPr>
          <w:p w14:paraId="230FDA0B" w14:textId="77777777" w:rsidR="00E40CD2" w:rsidRPr="00E40CD2" w:rsidRDefault="00E40CD2" w:rsidP="00484EE4">
            <w:pPr>
              <w:rPr>
                <w:rFonts w:ascii="Arial" w:hAnsi="Arial" w:cs="Arial"/>
                <w:b/>
                <w:sz w:val="24"/>
                <w:szCs w:val="24"/>
              </w:rPr>
            </w:pPr>
            <w:r w:rsidRPr="00E40CD2">
              <w:rPr>
                <w:rFonts w:ascii="Arial" w:eastAsia="Calibri" w:hAnsi="Arial" w:cs="Arial"/>
                <w:sz w:val="24"/>
                <w:szCs w:val="24"/>
              </w:rPr>
              <w:t>In accordance with the Trust Risk Management Policy (RM01) this procedure has a risk rating: [1x1=1]. This procedure has been examined under COSHH Guidelines, Manual Handling and VDU Regulations and has been assessed as</w:t>
            </w:r>
            <w:r w:rsidRPr="00E40CD2">
              <w:rPr>
                <w:rFonts w:ascii="Arial" w:eastAsia="Calibri" w:hAnsi="Arial" w:cs="Arial"/>
                <w:b/>
                <w:bCs/>
                <w:sz w:val="24"/>
                <w:szCs w:val="24"/>
              </w:rPr>
              <w:t xml:space="preserve"> Very Low </w:t>
            </w:r>
            <w:r w:rsidRPr="00E40CD2">
              <w:rPr>
                <w:rFonts w:ascii="Arial" w:eastAsia="Calibri" w:hAnsi="Arial" w:cs="Arial"/>
                <w:sz w:val="24"/>
                <w:szCs w:val="24"/>
              </w:rPr>
              <w:t>Risk if carried out as written.</w:t>
            </w:r>
          </w:p>
        </w:tc>
      </w:tr>
      <w:tr w:rsidR="00E40CD2" w:rsidRPr="00E40CD2" w14:paraId="230FDA11" w14:textId="77777777" w:rsidTr="00E40CD2">
        <w:tblPrEx>
          <w:tblBorders>
            <w:top w:val="none" w:sz="0" w:space="0" w:color="auto"/>
            <w:left w:val="none" w:sz="0" w:space="0" w:color="auto"/>
            <w:bottom w:val="none" w:sz="0" w:space="0" w:color="auto"/>
            <w:right w:val="none" w:sz="0" w:space="0" w:color="auto"/>
            <w:insideV w:val="none" w:sz="0" w:space="0" w:color="auto"/>
          </w:tblBorders>
        </w:tblPrEx>
        <w:trPr>
          <w:trHeight w:val="1242"/>
        </w:trPr>
        <w:tc>
          <w:tcPr>
            <w:tcW w:w="1701" w:type="dxa"/>
            <w:shd w:val="clear" w:color="auto" w:fill="auto"/>
          </w:tcPr>
          <w:p w14:paraId="230FDA0D" w14:textId="77777777" w:rsidR="00E40CD2" w:rsidRPr="00E40CD2" w:rsidRDefault="00E40CD2" w:rsidP="00484EE4">
            <w:pPr>
              <w:jc w:val="center"/>
              <w:rPr>
                <w:rFonts w:ascii="Arial" w:hAnsi="Arial" w:cs="Arial"/>
                <w:b/>
                <w:sz w:val="24"/>
                <w:szCs w:val="24"/>
                <w:u w:val="single"/>
              </w:rPr>
            </w:pPr>
            <w:r w:rsidRPr="00E40CD2">
              <w:rPr>
                <w:rFonts w:ascii="Arial" w:hAnsi="Arial" w:cs="Arial"/>
                <w:bCs/>
                <w:noProof/>
                <w:sz w:val="24"/>
                <w:szCs w:val="24"/>
                <w:lang w:eastAsia="en-GB"/>
              </w:rPr>
              <w:drawing>
                <wp:anchor distT="0" distB="0" distL="114300" distR="114300" simplePos="0" relativeHeight="251659264" behindDoc="0" locked="0" layoutInCell="1" allowOverlap="1" wp14:anchorId="230FDA78" wp14:editId="230FDA79">
                  <wp:simplePos x="0" y="0"/>
                  <wp:positionH relativeFrom="column">
                    <wp:posOffset>-18415</wp:posOffset>
                  </wp:positionH>
                  <wp:positionV relativeFrom="page">
                    <wp:posOffset>18415</wp:posOffset>
                  </wp:positionV>
                  <wp:extent cx="593725" cy="560705"/>
                  <wp:effectExtent l="0" t="0" r="0" b="0"/>
                  <wp:wrapNone/>
                  <wp:docPr id="11" name="Picture 11" descr="Biohazard symbol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ohazard symbol (Yello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725" cy="560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0FDA0E" w14:textId="77777777" w:rsidR="00E40CD2" w:rsidRPr="00E40CD2" w:rsidRDefault="00E40CD2" w:rsidP="00484EE4">
            <w:pPr>
              <w:jc w:val="center"/>
              <w:rPr>
                <w:rFonts w:ascii="Arial" w:hAnsi="Arial" w:cs="Arial"/>
                <w:b/>
                <w:sz w:val="24"/>
                <w:szCs w:val="24"/>
                <w:u w:val="single"/>
              </w:rPr>
            </w:pPr>
          </w:p>
          <w:p w14:paraId="230FDA0F" w14:textId="77777777" w:rsidR="00E40CD2" w:rsidRPr="00E40CD2" w:rsidRDefault="00E40CD2" w:rsidP="00484EE4">
            <w:pPr>
              <w:jc w:val="center"/>
              <w:rPr>
                <w:rFonts w:ascii="Arial" w:hAnsi="Arial" w:cs="Arial"/>
                <w:b/>
                <w:sz w:val="24"/>
                <w:szCs w:val="24"/>
                <w:u w:val="single"/>
              </w:rPr>
            </w:pPr>
          </w:p>
        </w:tc>
        <w:tc>
          <w:tcPr>
            <w:tcW w:w="8364" w:type="dxa"/>
            <w:shd w:val="clear" w:color="auto" w:fill="auto"/>
          </w:tcPr>
          <w:p w14:paraId="230FDA10" w14:textId="77777777" w:rsidR="00E40CD2" w:rsidRPr="00E40CD2" w:rsidRDefault="00E40CD2" w:rsidP="00484EE4">
            <w:pPr>
              <w:rPr>
                <w:rFonts w:ascii="Arial" w:hAnsi="Arial" w:cs="Arial"/>
                <w:sz w:val="24"/>
                <w:szCs w:val="24"/>
              </w:rPr>
            </w:pPr>
            <w:r w:rsidRPr="00E40CD2">
              <w:rPr>
                <w:rFonts w:ascii="Arial" w:hAnsi="Arial" w:cs="Arial"/>
                <w:sz w:val="24"/>
                <w:szCs w:val="24"/>
              </w:rPr>
              <w:t>This procedure could involve the handling of fresh biological material and as such should be regarded as a POTENTIAL BIOHAZARD. However the risk is minimal if the procedure is carried out as written.</w:t>
            </w:r>
          </w:p>
        </w:tc>
      </w:tr>
    </w:tbl>
    <w:p w14:paraId="230FDA12" w14:textId="77777777" w:rsidR="00E40CD2" w:rsidRPr="00E40CD2" w:rsidRDefault="00E40CD2" w:rsidP="00E40CD2">
      <w:pPr>
        <w:rPr>
          <w:rFonts w:ascii="Arial" w:hAnsi="Arial" w:cs="Arial"/>
          <w:vanish/>
          <w:sz w:val="24"/>
          <w:szCs w:val="24"/>
        </w:rPr>
      </w:pPr>
    </w:p>
    <w:tbl>
      <w:tblPr>
        <w:tblW w:w="10065" w:type="dxa"/>
        <w:tblInd w:w="-459" w:type="dxa"/>
        <w:tblBorders>
          <w:top w:val="single" w:sz="2" w:space="0" w:color="auto"/>
          <w:left w:val="single" w:sz="2" w:space="0" w:color="auto"/>
          <w:bottom w:val="single" w:sz="2" w:space="0" w:color="auto"/>
        </w:tblBorders>
        <w:tblLook w:val="04A0" w:firstRow="1" w:lastRow="0" w:firstColumn="1" w:lastColumn="0" w:noHBand="0" w:noVBand="1"/>
      </w:tblPr>
      <w:tblGrid>
        <w:gridCol w:w="10065"/>
      </w:tblGrid>
      <w:tr w:rsidR="00E40CD2" w:rsidRPr="00E40CD2" w14:paraId="230FDA15" w14:textId="77777777" w:rsidTr="00484EE4">
        <w:tc>
          <w:tcPr>
            <w:tcW w:w="10065" w:type="dxa"/>
            <w:tcBorders>
              <w:top w:val="single" w:sz="2" w:space="0" w:color="auto"/>
              <w:bottom w:val="single" w:sz="2" w:space="0" w:color="auto"/>
              <w:right w:val="single" w:sz="2" w:space="0" w:color="auto"/>
            </w:tcBorders>
            <w:shd w:val="clear" w:color="auto" w:fill="auto"/>
          </w:tcPr>
          <w:p w14:paraId="230FDA13" w14:textId="77777777" w:rsidR="00E40CD2" w:rsidRPr="00E40CD2" w:rsidRDefault="00E40CD2" w:rsidP="00484EE4">
            <w:pPr>
              <w:pStyle w:val="Heading2"/>
              <w:tabs>
                <w:tab w:val="left" w:pos="4151"/>
              </w:tabs>
            </w:pPr>
            <w:r w:rsidRPr="00E40CD2">
              <w:t>Area of Standard (s)</w:t>
            </w:r>
          </w:p>
          <w:p w14:paraId="52C2CF44" w14:textId="0CC5B3BE" w:rsidR="00E40CD2" w:rsidRDefault="00E40CD2" w:rsidP="00484EE4">
            <w:pPr>
              <w:pStyle w:val="Header"/>
              <w:jc w:val="both"/>
              <w:rPr>
                <w:rFonts w:ascii="Arial" w:eastAsia="SimSun" w:hAnsi="Arial" w:cs="Arial"/>
                <w:sz w:val="24"/>
                <w:szCs w:val="24"/>
              </w:rPr>
            </w:pPr>
            <w:r w:rsidRPr="00E40CD2">
              <w:rPr>
                <w:rFonts w:ascii="Arial" w:eastAsia="SimSun" w:hAnsi="Arial" w:cs="Arial"/>
                <w:sz w:val="24"/>
                <w:szCs w:val="24"/>
              </w:rPr>
              <w:t>ISO 15189:2012  5.1.5 Training</w:t>
            </w:r>
          </w:p>
          <w:p w14:paraId="1D6D678A" w14:textId="77777777" w:rsidR="0097636E" w:rsidRDefault="0097636E" w:rsidP="00484EE4">
            <w:pPr>
              <w:pStyle w:val="Header"/>
              <w:jc w:val="both"/>
              <w:rPr>
                <w:rFonts w:ascii="Arial" w:eastAsia="SimSun" w:hAnsi="Arial" w:cs="Arial"/>
                <w:sz w:val="24"/>
                <w:szCs w:val="24"/>
              </w:rPr>
            </w:pPr>
          </w:p>
          <w:p w14:paraId="51E9FC64" w14:textId="77777777" w:rsidR="0097636E" w:rsidRDefault="0097636E" w:rsidP="00484EE4">
            <w:pPr>
              <w:pStyle w:val="Header"/>
              <w:jc w:val="both"/>
              <w:rPr>
                <w:rFonts w:ascii="Arial" w:eastAsia="SimSun" w:hAnsi="Arial" w:cs="Arial"/>
                <w:sz w:val="24"/>
                <w:szCs w:val="24"/>
              </w:rPr>
            </w:pPr>
            <w:r>
              <w:rPr>
                <w:rFonts w:ascii="Arial" w:eastAsia="SimSun" w:hAnsi="Arial" w:cs="Arial"/>
                <w:sz w:val="24"/>
                <w:szCs w:val="24"/>
              </w:rPr>
              <w:t>ISO 15189:2022 6.2.5 Personnel records</w:t>
            </w:r>
          </w:p>
          <w:p w14:paraId="230FDA14" w14:textId="41734838" w:rsidR="0097636E" w:rsidRPr="00E40CD2" w:rsidRDefault="0097636E" w:rsidP="00484EE4">
            <w:pPr>
              <w:pStyle w:val="Header"/>
              <w:jc w:val="both"/>
              <w:rPr>
                <w:rFonts w:ascii="Arial" w:eastAsia="SimSun" w:hAnsi="Arial" w:cs="Arial"/>
                <w:sz w:val="24"/>
                <w:szCs w:val="24"/>
              </w:rPr>
            </w:pPr>
          </w:p>
        </w:tc>
      </w:tr>
    </w:tbl>
    <w:p w14:paraId="230FDA16" w14:textId="77777777" w:rsidR="00E40CD2" w:rsidRPr="00E40CD2" w:rsidRDefault="00E40CD2" w:rsidP="00B276CC">
      <w:pPr>
        <w:pStyle w:val="Default"/>
        <w:rPr>
          <w:b/>
          <w:bCs/>
        </w:rPr>
      </w:pPr>
    </w:p>
    <w:p w14:paraId="230FDA17" w14:textId="77777777" w:rsidR="00E40CD2" w:rsidRDefault="00E40CD2" w:rsidP="00B276CC">
      <w:pPr>
        <w:pStyle w:val="Default"/>
        <w:rPr>
          <w:bCs/>
        </w:rPr>
      </w:pPr>
    </w:p>
    <w:p w14:paraId="230FDA18" w14:textId="77777777" w:rsidR="00E40CD2" w:rsidRPr="00E40CD2" w:rsidRDefault="00E40CD2" w:rsidP="00B276CC">
      <w:pPr>
        <w:pStyle w:val="Default"/>
        <w:rPr>
          <w:bCs/>
        </w:rPr>
      </w:pPr>
      <w:r w:rsidRPr="00E40CD2">
        <w:rPr>
          <w:bCs/>
        </w:rPr>
        <w:t>This SOP outlines the process for Ordering within Meditech Order Management.</w:t>
      </w:r>
    </w:p>
    <w:p w14:paraId="230FDA19" w14:textId="77777777" w:rsidR="00E40CD2" w:rsidRDefault="00E40CD2" w:rsidP="00B276CC">
      <w:pPr>
        <w:pStyle w:val="Default"/>
        <w:rPr>
          <w:b/>
          <w:bCs/>
        </w:rPr>
      </w:pPr>
      <w:r>
        <w:rPr>
          <w:b/>
          <w:bCs/>
        </w:rPr>
        <w:t xml:space="preserve"> </w:t>
      </w:r>
    </w:p>
    <w:p w14:paraId="230FDA1A" w14:textId="77777777" w:rsidR="00B276CC" w:rsidRPr="00E40CD2" w:rsidRDefault="00E40CD2" w:rsidP="00B276CC">
      <w:pPr>
        <w:pStyle w:val="Default"/>
      </w:pPr>
      <w:r>
        <w:rPr>
          <w:b/>
          <w:bCs/>
        </w:rPr>
        <w:t>1  Overview</w:t>
      </w:r>
    </w:p>
    <w:p w14:paraId="230FDA1B" w14:textId="77777777" w:rsidR="00B276CC" w:rsidRPr="00E40CD2" w:rsidRDefault="00B276CC" w:rsidP="00B276CC">
      <w:pPr>
        <w:pStyle w:val="Default"/>
      </w:pPr>
    </w:p>
    <w:p w14:paraId="230FDA1C" w14:textId="77777777" w:rsidR="00E40CD2" w:rsidRDefault="00B276CC" w:rsidP="00B276CC">
      <w:pPr>
        <w:pStyle w:val="Default"/>
      </w:pPr>
      <w:r w:rsidRPr="00E40CD2">
        <w:t xml:space="preserve">Ordering allows for a test, examination or medication to be placed for a patient. Ordering can be directly accessed from within PCM, EDM, PCS and other Clinical Modules. </w:t>
      </w:r>
      <w:r w:rsidR="00E40CD2">
        <w:t xml:space="preserve">  </w:t>
      </w:r>
      <w:r w:rsidRPr="00E40CD2">
        <w:t xml:space="preserve">When in a patient account, below the EMR you will see function buttons titled Orders and Ambulatory Orders. </w:t>
      </w:r>
    </w:p>
    <w:p w14:paraId="230FDA1D" w14:textId="77777777" w:rsidR="00E40CD2" w:rsidRDefault="00E40CD2" w:rsidP="00B276CC">
      <w:pPr>
        <w:pStyle w:val="Default"/>
      </w:pPr>
    </w:p>
    <w:p w14:paraId="230FDA1E" w14:textId="77777777" w:rsidR="00B276CC" w:rsidRDefault="00B276CC" w:rsidP="00B276CC">
      <w:pPr>
        <w:pStyle w:val="Default"/>
      </w:pPr>
      <w:r w:rsidRPr="00E40CD2">
        <w:rPr>
          <w:noProof/>
          <w:lang w:eastAsia="en-GB"/>
        </w:rPr>
        <w:drawing>
          <wp:inline distT="0" distB="0" distL="0" distR="0" wp14:anchorId="230FDA7A" wp14:editId="230FDA7B">
            <wp:extent cx="1626870" cy="5099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6870" cy="509905"/>
                    </a:xfrm>
                    <a:prstGeom prst="rect">
                      <a:avLst/>
                    </a:prstGeom>
                    <a:noFill/>
                    <a:ln>
                      <a:noFill/>
                    </a:ln>
                  </pic:spPr>
                </pic:pic>
              </a:graphicData>
            </a:graphic>
          </wp:inline>
        </w:drawing>
      </w:r>
    </w:p>
    <w:p w14:paraId="230FDA1F" w14:textId="77777777" w:rsidR="00E40CD2" w:rsidRPr="00E40CD2" w:rsidRDefault="00E40CD2" w:rsidP="00B276CC">
      <w:pPr>
        <w:pStyle w:val="Default"/>
      </w:pPr>
    </w:p>
    <w:p w14:paraId="230FDA20" w14:textId="77777777" w:rsidR="00B276CC" w:rsidRPr="00E40CD2" w:rsidRDefault="00B276CC" w:rsidP="00B276CC">
      <w:pPr>
        <w:pStyle w:val="Default"/>
      </w:pPr>
    </w:p>
    <w:p w14:paraId="230FDA21" w14:textId="77777777" w:rsidR="00B276CC" w:rsidRPr="00E40CD2" w:rsidRDefault="00B276CC" w:rsidP="00B276CC">
      <w:pPr>
        <w:pStyle w:val="Default"/>
      </w:pPr>
      <w:r w:rsidRPr="00E40CD2">
        <w:rPr>
          <w:b/>
          <w:bCs/>
        </w:rPr>
        <w:t xml:space="preserve">Orders Overview </w:t>
      </w:r>
    </w:p>
    <w:p w14:paraId="230FDA22" w14:textId="77777777" w:rsidR="00B276CC" w:rsidRPr="00E40CD2" w:rsidRDefault="00B276CC" w:rsidP="00B276CC">
      <w:pPr>
        <w:pStyle w:val="Default"/>
      </w:pPr>
    </w:p>
    <w:p w14:paraId="230FDA23" w14:textId="77777777" w:rsidR="00B276CC" w:rsidRPr="00E40CD2" w:rsidRDefault="00B276CC" w:rsidP="00B276CC">
      <w:pPr>
        <w:pStyle w:val="Default"/>
      </w:pPr>
      <w:r w:rsidRPr="00E40CD2">
        <w:t xml:space="preserve">These Orders can be used to Order tests, examinations or Medications for a current order, such as a Full Blood Count on an inpatient or placing a medication order for an Inpatient. </w:t>
      </w:r>
    </w:p>
    <w:p w14:paraId="230FDA24" w14:textId="77777777" w:rsidR="00E40CD2" w:rsidRDefault="00E40CD2" w:rsidP="00B276CC">
      <w:pPr>
        <w:pStyle w:val="Default"/>
        <w:rPr>
          <w:b/>
          <w:bCs/>
        </w:rPr>
      </w:pPr>
    </w:p>
    <w:p w14:paraId="230FDA25" w14:textId="77777777" w:rsidR="00B276CC" w:rsidRPr="00E40CD2" w:rsidRDefault="00B276CC" w:rsidP="00B276CC">
      <w:pPr>
        <w:pStyle w:val="Default"/>
      </w:pPr>
      <w:r w:rsidRPr="00E40CD2">
        <w:rPr>
          <w:b/>
          <w:bCs/>
        </w:rPr>
        <w:t xml:space="preserve">Ambulatory Orders Overview </w:t>
      </w:r>
    </w:p>
    <w:p w14:paraId="230FDA26" w14:textId="77777777" w:rsidR="00B276CC" w:rsidRPr="00E40CD2" w:rsidRDefault="00B276CC" w:rsidP="00B276CC">
      <w:pPr>
        <w:pStyle w:val="Default"/>
      </w:pPr>
      <w:r w:rsidRPr="00E40CD2">
        <w:lastRenderedPageBreak/>
        <w:t xml:space="preserve">Ambulatory Orders allow you to place an order for a future visit, or take home medications for an inpatient </w:t>
      </w:r>
    </w:p>
    <w:p w14:paraId="230FDA27" w14:textId="77777777" w:rsidR="00E40CD2" w:rsidRDefault="00E40CD2" w:rsidP="00B276CC">
      <w:pPr>
        <w:pStyle w:val="Default"/>
        <w:rPr>
          <w:b/>
          <w:bCs/>
        </w:rPr>
      </w:pPr>
    </w:p>
    <w:p w14:paraId="230FDA28" w14:textId="77777777" w:rsidR="00E40CD2" w:rsidRDefault="00E40CD2" w:rsidP="00B276CC">
      <w:pPr>
        <w:pStyle w:val="Default"/>
        <w:rPr>
          <w:b/>
          <w:bCs/>
        </w:rPr>
      </w:pPr>
    </w:p>
    <w:p w14:paraId="230FDA29" w14:textId="77777777" w:rsidR="00B276CC" w:rsidRPr="00E40CD2" w:rsidRDefault="00E40CD2" w:rsidP="00B276CC">
      <w:pPr>
        <w:pStyle w:val="Default"/>
      </w:pPr>
      <w:r>
        <w:rPr>
          <w:b/>
          <w:bCs/>
        </w:rPr>
        <w:t xml:space="preserve">1.2 </w:t>
      </w:r>
      <w:r w:rsidR="00B276CC" w:rsidRPr="00E40CD2">
        <w:rPr>
          <w:b/>
          <w:bCs/>
        </w:rPr>
        <w:t xml:space="preserve">Ordering Pre-Requisites </w:t>
      </w:r>
    </w:p>
    <w:p w14:paraId="230FDA2A" w14:textId="77777777" w:rsidR="00B276CC" w:rsidRPr="00E40CD2" w:rsidRDefault="00B276CC" w:rsidP="00B276CC">
      <w:pPr>
        <w:pStyle w:val="Default"/>
      </w:pPr>
    </w:p>
    <w:p w14:paraId="230FDA2B" w14:textId="77777777" w:rsidR="00B276CC" w:rsidRPr="00E40CD2" w:rsidRDefault="00B276CC" w:rsidP="00B276CC">
      <w:pPr>
        <w:pStyle w:val="Default"/>
      </w:pPr>
      <w:r w:rsidRPr="00E40CD2">
        <w:t xml:space="preserve">You may be stopped on </w:t>
      </w:r>
      <w:r w:rsidRPr="00E40CD2">
        <w:rPr>
          <w:b/>
          <w:bCs/>
        </w:rPr>
        <w:t xml:space="preserve">inpatient </w:t>
      </w:r>
      <w:r w:rsidRPr="00E40CD2">
        <w:t xml:space="preserve">orders to enter a VTE Assessment, or be warned if Height, Weight and Allergies have not been documented. If this is the case, you will get a warning message similar to the following: </w:t>
      </w:r>
      <w:r w:rsidRPr="00E40CD2">
        <w:rPr>
          <w:noProof/>
          <w:lang w:eastAsia="en-GB"/>
        </w:rPr>
        <w:drawing>
          <wp:inline distT="0" distB="0" distL="0" distR="0" wp14:anchorId="230FDA7C" wp14:editId="230FDA7D">
            <wp:extent cx="5731510" cy="988356"/>
            <wp:effectExtent l="0" t="0" r="254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988356"/>
                    </a:xfrm>
                    <a:prstGeom prst="rect">
                      <a:avLst/>
                    </a:prstGeom>
                    <a:noFill/>
                    <a:ln>
                      <a:noFill/>
                    </a:ln>
                  </pic:spPr>
                </pic:pic>
              </a:graphicData>
            </a:graphic>
          </wp:inline>
        </w:drawing>
      </w:r>
    </w:p>
    <w:p w14:paraId="230FDA2C" w14:textId="77777777" w:rsidR="00B276CC" w:rsidRPr="00E40CD2" w:rsidRDefault="00B276CC" w:rsidP="00B276CC">
      <w:pPr>
        <w:pStyle w:val="Default"/>
      </w:pPr>
      <w:r w:rsidRPr="00E40CD2">
        <w:t xml:space="preserve">Fig 1.1 – Warning Message Displayed </w:t>
      </w:r>
    </w:p>
    <w:p w14:paraId="230FDA2D" w14:textId="77777777" w:rsidR="00B276CC" w:rsidRPr="00E40CD2" w:rsidRDefault="00B276CC" w:rsidP="00B276CC">
      <w:pPr>
        <w:pStyle w:val="Default"/>
      </w:pPr>
      <w:r w:rsidRPr="00E40CD2">
        <w:t xml:space="preserve">It is possible to override this message the footer buttons, or alternatively enter the data from this point by clicking into Clinical Data (footer button). </w:t>
      </w:r>
    </w:p>
    <w:p w14:paraId="230FDA2E" w14:textId="77777777" w:rsidR="00E40CD2" w:rsidRDefault="00E40CD2" w:rsidP="00B276CC">
      <w:pPr>
        <w:pStyle w:val="Default"/>
        <w:rPr>
          <w:b/>
          <w:bCs/>
        </w:rPr>
      </w:pPr>
    </w:p>
    <w:p w14:paraId="230FDA2F" w14:textId="77777777" w:rsidR="00E40CD2" w:rsidRDefault="00E40CD2" w:rsidP="00B276CC">
      <w:pPr>
        <w:pStyle w:val="Default"/>
        <w:rPr>
          <w:b/>
          <w:bCs/>
        </w:rPr>
      </w:pPr>
    </w:p>
    <w:p w14:paraId="230FDA30" w14:textId="77777777" w:rsidR="00B276CC" w:rsidRPr="00E40CD2" w:rsidRDefault="00B276CC" w:rsidP="00B276CC">
      <w:pPr>
        <w:pStyle w:val="Default"/>
      </w:pPr>
      <w:r w:rsidRPr="00E40CD2">
        <w:rPr>
          <w:b/>
          <w:bCs/>
        </w:rPr>
        <w:t xml:space="preserve">1.3 Viewing Orders – Current and Historic </w:t>
      </w:r>
    </w:p>
    <w:p w14:paraId="230FDA31" w14:textId="77777777" w:rsidR="00B276CC" w:rsidRPr="00E40CD2" w:rsidRDefault="00B276CC" w:rsidP="00B276CC">
      <w:pPr>
        <w:pStyle w:val="Default"/>
      </w:pPr>
      <w:r w:rsidRPr="00E40CD2">
        <w:t xml:space="preserve">Whether in Orders or Ambulatory Orders, the routines are very similar albeit providing slightly different functionality and purpose as described above. </w:t>
      </w:r>
    </w:p>
    <w:p w14:paraId="230FDA32" w14:textId="77777777" w:rsidR="00B276CC" w:rsidRPr="00E40CD2" w:rsidRDefault="00B276CC" w:rsidP="00B276CC">
      <w:pPr>
        <w:pStyle w:val="Default"/>
      </w:pPr>
      <w:r w:rsidRPr="00E40CD2">
        <w:t xml:space="preserve">The orders that patient is currently assigned are displayed under their relevant categories, displaying the Ordering Clinician, Start Date/Time and the Order Status. </w:t>
      </w:r>
    </w:p>
    <w:p w14:paraId="230FDA33" w14:textId="77777777" w:rsidR="00B276CC" w:rsidRPr="00E40CD2" w:rsidRDefault="00B276CC" w:rsidP="00B276CC">
      <w:pPr>
        <w:pStyle w:val="Default"/>
      </w:pPr>
      <w:r w:rsidRPr="00E40CD2">
        <w:rPr>
          <w:noProof/>
          <w:lang w:eastAsia="en-GB"/>
        </w:rPr>
        <w:drawing>
          <wp:inline distT="0" distB="0" distL="0" distR="0" wp14:anchorId="230FDA7E" wp14:editId="230FDA7F">
            <wp:extent cx="5731510" cy="1694474"/>
            <wp:effectExtent l="0" t="0" r="254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1694474"/>
                    </a:xfrm>
                    <a:prstGeom prst="rect">
                      <a:avLst/>
                    </a:prstGeom>
                    <a:noFill/>
                    <a:ln>
                      <a:noFill/>
                    </a:ln>
                  </pic:spPr>
                </pic:pic>
              </a:graphicData>
            </a:graphic>
          </wp:inline>
        </w:drawing>
      </w:r>
    </w:p>
    <w:p w14:paraId="230FDA34" w14:textId="77777777" w:rsidR="00B276CC" w:rsidRPr="00E40CD2" w:rsidRDefault="00B276CC" w:rsidP="00B276CC">
      <w:pPr>
        <w:pStyle w:val="Default"/>
      </w:pPr>
      <w:r w:rsidRPr="00E40CD2">
        <w:t xml:space="preserve">Fig 1.2 – Display of Current Orders </w:t>
      </w:r>
    </w:p>
    <w:p w14:paraId="230FDA35" w14:textId="77777777" w:rsidR="00B276CC" w:rsidRPr="00E40CD2" w:rsidRDefault="00B276CC" w:rsidP="00B276CC">
      <w:pPr>
        <w:rPr>
          <w:rFonts w:ascii="Arial" w:hAnsi="Arial" w:cs="Arial"/>
          <w:sz w:val="24"/>
          <w:szCs w:val="24"/>
        </w:rPr>
      </w:pPr>
      <w:r w:rsidRPr="00E40CD2">
        <w:rPr>
          <w:rFonts w:ascii="Arial" w:hAnsi="Arial" w:cs="Arial"/>
          <w:sz w:val="24"/>
          <w:szCs w:val="24"/>
        </w:rPr>
        <w:t>In the header buttons is an option for History, clicking this will display all historic orders, by default you will see the previous 7 days however this can be changed using the footer buttons specifying different date ranges. Please note that within historic orders, you will also see the current orders placed.</w:t>
      </w:r>
    </w:p>
    <w:p w14:paraId="230FDA36" w14:textId="77777777" w:rsidR="00B276CC" w:rsidRPr="00E40CD2" w:rsidRDefault="00B276CC" w:rsidP="00B276CC">
      <w:pPr>
        <w:pStyle w:val="Default"/>
      </w:pPr>
    </w:p>
    <w:p w14:paraId="230FDA37" w14:textId="77777777" w:rsidR="00E40CD2" w:rsidRDefault="00E40CD2" w:rsidP="00B276CC">
      <w:pPr>
        <w:pStyle w:val="Default"/>
        <w:rPr>
          <w:b/>
          <w:bCs/>
        </w:rPr>
      </w:pPr>
    </w:p>
    <w:p w14:paraId="230FDA38" w14:textId="77777777" w:rsidR="00B276CC" w:rsidRPr="00E40CD2" w:rsidRDefault="00B276CC" w:rsidP="00B276CC">
      <w:pPr>
        <w:pStyle w:val="Default"/>
      </w:pPr>
      <w:r w:rsidRPr="00E40CD2">
        <w:rPr>
          <w:b/>
          <w:bCs/>
        </w:rPr>
        <w:t xml:space="preserve">1.4 Entering an Order (Laboratory/Radiology) </w:t>
      </w:r>
    </w:p>
    <w:p w14:paraId="230FDA39" w14:textId="77777777" w:rsidR="00B276CC" w:rsidRDefault="00B276CC" w:rsidP="00B276CC">
      <w:pPr>
        <w:pStyle w:val="Default"/>
      </w:pPr>
      <w:r w:rsidRPr="00E40CD2">
        <w:t xml:space="preserve">When in the Orders or Ambulatory Orders function, there will be some functions in the header – one of which states </w:t>
      </w:r>
      <w:r w:rsidRPr="00E40CD2">
        <w:rPr>
          <w:b/>
          <w:bCs/>
        </w:rPr>
        <w:t>New Orders</w:t>
      </w:r>
      <w:r w:rsidRPr="00E40CD2">
        <w:t xml:space="preserve">. Select this function button to enter into the Order Management routine. By default, you will be entered into the Favourites routine, if you have no Favourites setup, you will automatically enter into the Name routine. This routine allows you to search for orders by name. </w:t>
      </w:r>
    </w:p>
    <w:p w14:paraId="230FDA3A" w14:textId="77777777" w:rsidR="00B276CC" w:rsidRPr="00E40CD2" w:rsidRDefault="00B276CC" w:rsidP="00B276CC">
      <w:pPr>
        <w:pStyle w:val="Default"/>
      </w:pPr>
      <w:r w:rsidRPr="00E40CD2">
        <w:rPr>
          <w:noProof/>
          <w:lang w:eastAsia="en-GB"/>
        </w:rPr>
        <w:drawing>
          <wp:inline distT="0" distB="0" distL="0" distR="0" wp14:anchorId="230FDA80" wp14:editId="230FDA81">
            <wp:extent cx="5731510" cy="1469959"/>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1469959"/>
                    </a:xfrm>
                    <a:prstGeom prst="rect">
                      <a:avLst/>
                    </a:prstGeom>
                    <a:noFill/>
                    <a:ln>
                      <a:noFill/>
                    </a:ln>
                  </pic:spPr>
                </pic:pic>
              </a:graphicData>
            </a:graphic>
          </wp:inline>
        </w:drawing>
      </w:r>
    </w:p>
    <w:p w14:paraId="230FDA3B" w14:textId="77777777" w:rsidR="00B276CC" w:rsidRPr="00E40CD2" w:rsidRDefault="00B276CC" w:rsidP="00B276CC">
      <w:pPr>
        <w:pStyle w:val="Default"/>
      </w:pPr>
      <w:r w:rsidRPr="00E40CD2">
        <w:t xml:space="preserve">Fig 1.3 – Display of New Orders, Name Search </w:t>
      </w:r>
    </w:p>
    <w:p w14:paraId="230FDA3C" w14:textId="77777777" w:rsidR="00E40CD2" w:rsidRDefault="00E40CD2" w:rsidP="00B276CC">
      <w:pPr>
        <w:pStyle w:val="Default"/>
      </w:pPr>
    </w:p>
    <w:p w14:paraId="230FDA3D" w14:textId="77777777" w:rsidR="00E40CD2" w:rsidRDefault="00B276CC" w:rsidP="00B276CC">
      <w:pPr>
        <w:pStyle w:val="Default"/>
      </w:pPr>
      <w:r w:rsidRPr="00E40CD2">
        <w:t xml:space="preserve">Typing in the name of an order will automatically display the orders available, you may notice in Figure 1.3 the search function of Any Word is selected, this can be changed to Starts with if desired. For example typing Glucose into the Search box will provide the following tests available to select for order as displayed in figure 1.4 </w:t>
      </w:r>
    </w:p>
    <w:p w14:paraId="230FDA3E" w14:textId="77777777" w:rsidR="0017479F" w:rsidRDefault="0017479F" w:rsidP="00B276CC">
      <w:pPr>
        <w:pStyle w:val="Default"/>
      </w:pPr>
    </w:p>
    <w:p w14:paraId="230FDA3F" w14:textId="77777777" w:rsidR="00B276CC" w:rsidRPr="00E40CD2" w:rsidRDefault="00B276CC" w:rsidP="00B276CC">
      <w:pPr>
        <w:pStyle w:val="Default"/>
      </w:pPr>
      <w:r w:rsidRPr="00E40CD2">
        <w:rPr>
          <w:noProof/>
          <w:lang w:eastAsia="en-GB"/>
        </w:rPr>
        <w:lastRenderedPageBreak/>
        <w:drawing>
          <wp:inline distT="0" distB="0" distL="0" distR="0" wp14:anchorId="230FDA82" wp14:editId="230FDA83">
            <wp:extent cx="5736657" cy="2983831"/>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2981154"/>
                    </a:xfrm>
                    <a:prstGeom prst="rect">
                      <a:avLst/>
                    </a:prstGeom>
                    <a:noFill/>
                    <a:ln>
                      <a:noFill/>
                    </a:ln>
                  </pic:spPr>
                </pic:pic>
              </a:graphicData>
            </a:graphic>
          </wp:inline>
        </w:drawing>
      </w:r>
    </w:p>
    <w:p w14:paraId="230FDA40" w14:textId="77777777" w:rsidR="00B276CC" w:rsidRPr="00E40CD2" w:rsidRDefault="00B276CC" w:rsidP="00B276CC">
      <w:pPr>
        <w:pStyle w:val="Default"/>
      </w:pPr>
      <w:r w:rsidRPr="00E40CD2">
        <w:t xml:space="preserve">Fig 1.4 – Search Results from ‘Glucose’ with Any Word enabled </w:t>
      </w:r>
    </w:p>
    <w:p w14:paraId="230FDA41" w14:textId="77777777" w:rsidR="00B276CC" w:rsidRPr="00E40CD2" w:rsidRDefault="00B276CC" w:rsidP="00B276CC">
      <w:pPr>
        <w:pStyle w:val="Default"/>
      </w:pPr>
      <w:r w:rsidRPr="00E40CD2">
        <w:t xml:space="preserve">Checking a Test allows selecting for order, it is possible to check an item, and then search for another – the system will queue the other items for you to sign off. </w:t>
      </w:r>
    </w:p>
    <w:p w14:paraId="230FDA42" w14:textId="77777777" w:rsidR="00B276CC" w:rsidRPr="00E40CD2" w:rsidRDefault="00B276CC" w:rsidP="00B276CC">
      <w:pPr>
        <w:pStyle w:val="Default"/>
      </w:pPr>
      <w:r w:rsidRPr="00E40CD2">
        <w:rPr>
          <w:b/>
          <w:bCs/>
        </w:rPr>
        <w:t xml:space="preserve">Note: </w:t>
      </w:r>
      <w:r w:rsidRPr="00E40CD2">
        <w:t xml:space="preserve">When ordering Radiology orders within Sunderland Royal Hospital, ensure to select the order with DGXR.RAD.CHS amended to the order. </w:t>
      </w:r>
    </w:p>
    <w:p w14:paraId="230FDA43" w14:textId="77777777" w:rsidR="00B276CC" w:rsidRPr="00E40CD2" w:rsidRDefault="00B276CC" w:rsidP="00B276CC">
      <w:pPr>
        <w:pStyle w:val="Default"/>
      </w:pPr>
      <w:r w:rsidRPr="00E40CD2">
        <w:t xml:space="preserve">Once the final order has been selected, press the Next button in the footer to view all you have selected – or alternatively select the Queued button in the header to view, and then press Next. </w:t>
      </w:r>
    </w:p>
    <w:p w14:paraId="230FDA44" w14:textId="77777777" w:rsidR="00B276CC" w:rsidRDefault="00B276CC" w:rsidP="00B276CC">
      <w:pPr>
        <w:pStyle w:val="Default"/>
      </w:pPr>
      <w:r w:rsidRPr="00E40CD2">
        <w:t xml:space="preserve">You will be prompted at this point to choose if the order is to be Stat, Urgent, Routine or Daily. Once selected, the date and time will default in as present time. The Edit button will display, if there are any mandatory details that much be completed, an asterisk [*] will appear next to the Edit button, figure 1.5. Selecting this will launch you in to confirm content. </w:t>
      </w:r>
    </w:p>
    <w:p w14:paraId="230FDA45" w14:textId="77777777" w:rsidR="0017479F" w:rsidRPr="00E40CD2" w:rsidRDefault="0017479F" w:rsidP="00B276CC">
      <w:pPr>
        <w:pStyle w:val="Default"/>
      </w:pPr>
    </w:p>
    <w:p w14:paraId="230FDA46" w14:textId="77777777" w:rsidR="00B276CC" w:rsidRPr="00E40CD2" w:rsidRDefault="00B276CC" w:rsidP="00B276CC">
      <w:pPr>
        <w:pStyle w:val="Default"/>
      </w:pPr>
      <w:r w:rsidRPr="00E40CD2">
        <w:rPr>
          <w:noProof/>
          <w:lang w:eastAsia="en-GB"/>
        </w:rPr>
        <w:drawing>
          <wp:inline distT="0" distB="0" distL="0" distR="0" wp14:anchorId="230FDA84" wp14:editId="230FDA85">
            <wp:extent cx="5284470" cy="259715"/>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84470" cy="259715"/>
                    </a:xfrm>
                    <a:prstGeom prst="rect">
                      <a:avLst/>
                    </a:prstGeom>
                    <a:noFill/>
                    <a:ln>
                      <a:noFill/>
                    </a:ln>
                  </pic:spPr>
                </pic:pic>
              </a:graphicData>
            </a:graphic>
          </wp:inline>
        </w:drawing>
      </w:r>
    </w:p>
    <w:p w14:paraId="230FDA47" w14:textId="77777777" w:rsidR="00B276CC" w:rsidRPr="00E40CD2" w:rsidRDefault="00B276CC" w:rsidP="00B276CC">
      <w:pPr>
        <w:pStyle w:val="Default"/>
      </w:pPr>
    </w:p>
    <w:p w14:paraId="230FDA48" w14:textId="77777777" w:rsidR="00B276CC" w:rsidRPr="00E40CD2" w:rsidRDefault="00B276CC" w:rsidP="00B276CC">
      <w:pPr>
        <w:pStyle w:val="Default"/>
      </w:pPr>
    </w:p>
    <w:p w14:paraId="230FDA49" w14:textId="77777777" w:rsidR="00B276CC" w:rsidRPr="00E40CD2" w:rsidRDefault="00B276CC" w:rsidP="00B276CC">
      <w:pPr>
        <w:rPr>
          <w:rFonts w:ascii="Arial" w:hAnsi="Arial" w:cs="Arial"/>
          <w:sz w:val="24"/>
          <w:szCs w:val="24"/>
        </w:rPr>
      </w:pPr>
      <w:r w:rsidRPr="00E40CD2">
        <w:rPr>
          <w:rFonts w:ascii="Arial" w:hAnsi="Arial" w:cs="Arial"/>
          <w:sz w:val="24"/>
          <w:szCs w:val="24"/>
        </w:rPr>
        <w:t>Fig 1.5</w:t>
      </w:r>
    </w:p>
    <w:p w14:paraId="230FDA4A" w14:textId="77777777" w:rsidR="0017479F" w:rsidRDefault="0017479F" w:rsidP="00B276CC">
      <w:pPr>
        <w:pStyle w:val="Default"/>
      </w:pPr>
    </w:p>
    <w:p w14:paraId="230FDA4B" w14:textId="77777777" w:rsidR="0017479F" w:rsidRDefault="0017479F" w:rsidP="00B276CC">
      <w:pPr>
        <w:pStyle w:val="Default"/>
      </w:pPr>
    </w:p>
    <w:p w14:paraId="230FDA4C" w14:textId="77777777" w:rsidR="00B276CC" w:rsidRDefault="00B276CC" w:rsidP="00B276CC">
      <w:pPr>
        <w:pStyle w:val="Default"/>
      </w:pPr>
      <w:r w:rsidRPr="00E40CD2">
        <w:lastRenderedPageBreak/>
        <w:t xml:space="preserve">Once all details have been entered, select the OK button in the footer. You will see the order you have placed under the heading of New Orders. Current orders will be displayed below. </w:t>
      </w:r>
    </w:p>
    <w:p w14:paraId="230FDA4D" w14:textId="77777777" w:rsidR="0017479F" w:rsidRPr="00E40CD2" w:rsidRDefault="0017479F" w:rsidP="00B276CC">
      <w:pPr>
        <w:pStyle w:val="Default"/>
      </w:pPr>
    </w:p>
    <w:p w14:paraId="230FDA4E" w14:textId="77777777" w:rsidR="00B276CC" w:rsidRPr="00E40CD2" w:rsidRDefault="00B276CC" w:rsidP="00B276CC">
      <w:pPr>
        <w:pStyle w:val="Default"/>
      </w:pPr>
      <w:r w:rsidRPr="00E40CD2">
        <w:rPr>
          <w:noProof/>
          <w:lang w:eastAsia="en-GB"/>
        </w:rPr>
        <w:drawing>
          <wp:inline distT="0" distB="0" distL="0" distR="0" wp14:anchorId="230FDA86" wp14:editId="230FDA87">
            <wp:extent cx="5731510" cy="2154107"/>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2154107"/>
                    </a:xfrm>
                    <a:prstGeom prst="rect">
                      <a:avLst/>
                    </a:prstGeom>
                    <a:noFill/>
                    <a:ln>
                      <a:noFill/>
                    </a:ln>
                  </pic:spPr>
                </pic:pic>
              </a:graphicData>
            </a:graphic>
          </wp:inline>
        </w:drawing>
      </w:r>
    </w:p>
    <w:p w14:paraId="230FDA4F" w14:textId="77777777" w:rsidR="00B276CC" w:rsidRPr="00E40CD2" w:rsidRDefault="00B276CC" w:rsidP="00B276CC">
      <w:pPr>
        <w:pStyle w:val="Default"/>
      </w:pPr>
      <w:r w:rsidRPr="00E40CD2">
        <w:t xml:space="preserve">Fig 1.6 - The New Order selected </w:t>
      </w:r>
    </w:p>
    <w:p w14:paraId="230FDA50" w14:textId="77777777" w:rsidR="0017479F" w:rsidRDefault="0017479F" w:rsidP="00B276CC">
      <w:pPr>
        <w:pStyle w:val="Default"/>
      </w:pPr>
    </w:p>
    <w:p w14:paraId="230FDA51" w14:textId="77777777" w:rsidR="0017479F" w:rsidRDefault="0017479F" w:rsidP="00B276CC">
      <w:pPr>
        <w:pStyle w:val="Default"/>
      </w:pPr>
    </w:p>
    <w:p w14:paraId="230FDA52" w14:textId="77777777" w:rsidR="00B276CC" w:rsidRDefault="00B276CC" w:rsidP="00B276CC">
      <w:pPr>
        <w:pStyle w:val="Default"/>
      </w:pPr>
      <w:r w:rsidRPr="00E40CD2">
        <w:t xml:space="preserve">At this point, it is possible to place further orders. Select the Save button in the footer and enter your PIN as prompted and press Enter or Select Save Selected button in the footer. </w:t>
      </w:r>
    </w:p>
    <w:p w14:paraId="230FDA53" w14:textId="77777777" w:rsidR="0017479F" w:rsidRPr="00E40CD2" w:rsidRDefault="0017479F" w:rsidP="00B276CC">
      <w:pPr>
        <w:pStyle w:val="Default"/>
      </w:pPr>
    </w:p>
    <w:p w14:paraId="230FDA54" w14:textId="77777777" w:rsidR="00B276CC" w:rsidRPr="00E40CD2" w:rsidRDefault="00B276CC" w:rsidP="00B276CC">
      <w:pPr>
        <w:pStyle w:val="Default"/>
      </w:pPr>
      <w:r w:rsidRPr="00E40CD2">
        <w:rPr>
          <w:noProof/>
          <w:lang w:eastAsia="en-GB"/>
        </w:rPr>
        <w:drawing>
          <wp:inline distT="0" distB="0" distL="0" distR="0" wp14:anchorId="230FDA88" wp14:editId="230FDA89">
            <wp:extent cx="5476875" cy="1569085"/>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76875" cy="1569085"/>
                    </a:xfrm>
                    <a:prstGeom prst="rect">
                      <a:avLst/>
                    </a:prstGeom>
                    <a:noFill/>
                    <a:ln>
                      <a:noFill/>
                    </a:ln>
                  </pic:spPr>
                </pic:pic>
              </a:graphicData>
            </a:graphic>
          </wp:inline>
        </w:drawing>
      </w:r>
    </w:p>
    <w:p w14:paraId="230FDA55" w14:textId="77777777" w:rsidR="00B276CC" w:rsidRDefault="00B276CC" w:rsidP="00B276CC">
      <w:pPr>
        <w:pStyle w:val="Default"/>
      </w:pPr>
      <w:r w:rsidRPr="00E40CD2">
        <w:t xml:space="preserve">Fig 1.7 – Enter PIN screen </w:t>
      </w:r>
    </w:p>
    <w:p w14:paraId="230FDA56" w14:textId="77777777" w:rsidR="0017479F" w:rsidRPr="00E40CD2" w:rsidRDefault="0017479F" w:rsidP="00B276CC">
      <w:pPr>
        <w:pStyle w:val="Default"/>
      </w:pPr>
    </w:p>
    <w:p w14:paraId="230FDA57" w14:textId="77777777" w:rsidR="00B276CC" w:rsidRPr="00E40CD2" w:rsidRDefault="00B276CC" w:rsidP="00B276CC">
      <w:pPr>
        <w:pStyle w:val="Default"/>
      </w:pPr>
      <w:r w:rsidRPr="00E40CD2">
        <w:t xml:space="preserve">The screen will go back to the Orders function, displaying your Order placed as Ordered. </w:t>
      </w:r>
    </w:p>
    <w:p w14:paraId="230FDA58" w14:textId="77777777" w:rsidR="00B276CC" w:rsidRPr="00E40CD2" w:rsidRDefault="00B276CC" w:rsidP="00B276CC">
      <w:pPr>
        <w:pStyle w:val="Default"/>
      </w:pPr>
      <w:r w:rsidRPr="00E40CD2">
        <w:t xml:space="preserve">The status of the Order will change depending on the state in which the Order is at – such as Uncollected, Received, Active or Hold. </w:t>
      </w:r>
    </w:p>
    <w:p w14:paraId="230FDA59" w14:textId="77777777" w:rsidR="0017479F" w:rsidRDefault="0017479F" w:rsidP="00B276CC">
      <w:pPr>
        <w:pStyle w:val="Default"/>
        <w:rPr>
          <w:b/>
          <w:bCs/>
        </w:rPr>
      </w:pPr>
    </w:p>
    <w:p w14:paraId="230FDA5A" w14:textId="77777777" w:rsidR="00B276CC" w:rsidRPr="00E40CD2" w:rsidRDefault="00B276CC" w:rsidP="00B276CC">
      <w:pPr>
        <w:pStyle w:val="Default"/>
      </w:pPr>
      <w:r w:rsidRPr="00E40CD2">
        <w:rPr>
          <w:b/>
          <w:bCs/>
        </w:rPr>
        <w:lastRenderedPageBreak/>
        <w:t xml:space="preserve">1.4.1 Care Orders </w:t>
      </w:r>
    </w:p>
    <w:p w14:paraId="230FDA5B" w14:textId="77777777" w:rsidR="00B276CC" w:rsidRPr="00E40CD2" w:rsidRDefault="00B276CC" w:rsidP="00B276CC">
      <w:pPr>
        <w:pStyle w:val="Default"/>
      </w:pPr>
    </w:p>
    <w:p w14:paraId="230FDA5C" w14:textId="77777777" w:rsidR="00B276CC" w:rsidRPr="00E40CD2" w:rsidRDefault="00B276CC" w:rsidP="00B276CC">
      <w:pPr>
        <w:pStyle w:val="Default"/>
      </w:pPr>
      <w:r w:rsidRPr="00E40CD2">
        <w:t xml:space="preserve">Within the Orders functionality, it is possible to place orders for Routine Care requests, these may be access via the Orders routine, and choosing Category Search, under the heading of Other and the Category of Routine Care – as displayed in Fig 1.8. </w:t>
      </w:r>
    </w:p>
    <w:p w14:paraId="230FDA5D" w14:textId="77777777" w:rsidR="00B276CC" w:rsidRPr="00E40CD2" w:rsidRDefault="00B276CC" w:rsidP="00B276CC">
      <w:pPr>
        <w:pStyle w:val="Default"/>
      </w:pPr>
      <w:r w:rsidRPr="00E40CD2">
        <w:rPr>
          <w:noProof/>
          <w:lang w:eastAsia="en-GB"/>
        </w:rPr>
        <w:drawing>
          <wp:inline distT="0" distB="0" distL="0" distR="0" wp14:anchorId="230FDA8A" wp14:editId="230FDA8B">
            <wp:extent cx="5731510" cy="1696455"/>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1696455"/>
                    </a:xfrm>
                    <a:prstGeom prst="rect">
                      <a:avLst/>
                    </a:prstGeom>
                    <a:noFill/>
                    <a:ln>
                      <a:noFill/>
                    </a:ln>
                  </pic:spPr>
                </pic:pic>
              </a:graphicData>
            </a:graphic>
          </wp:inline>
        </w:drawing>
      </w:r>
    </w:p>
    <w:p w14:paraId="230FDA5E" w14:textId="77777777" w:rsidR="00B276CC" w:rsidRDefault="00B276CC" w:rsidP="00B276CC">
      <w:pPr>
        <w:pStyle w:val="Default"/>
      </w:pPr>
      <w:r w:rsidRPr="00E40CD2">
        <w:t xml:space="preserve">Fig 1.8 – Routine Care Category </w:t>
      </w:r>
    </w:p>
    <w:p w14:paraId="230FDA5F" w14:textId="77777777" w:rsidR="0017479F" w:rsidRDefault="0017479F" w:rsidP="00B276CC">
      <w:pPr>
        <w:pStyle w:val="Default"/>
      </w:pPr>
    </w:p>
    <w:p w14:paraId="230FDA60" w14:textId="77777777" w:rsidR="0017479F" w:rsidRDefault="0017479F" w:rsidP="00B276CC">
      <w:pPr>
        <w:pStyle w:val="Default"/>
      </w:pPr>
    </w:p>
    <w:p w14:paraId="230FDA61" w14:textId="77777777" w:rsidR="0017479F" w:rsidRPr="00E40CD2" w:rsidRDefault="0017479F" w:rsidP="00B276CC">
      <w:pPr>
        <w:pStyle w:val="Default"/>
      </w:pPr>
    </w:p>
    <w:p w14:paraId="230FDA62" w14:textId="77777777" w:rsidR="00B276CC" w:rsidRPr="00E40CD2" w:rsidRDefault="00B276CC" w:rsidP="00B276CC">
      <w:pPr>
        <w:pStyle w:val="Default"/>
      </w:pPr>
      <w:r w:rsidRPr="00E40CD2">
        <w:t xml:space="preserve">The following are examples of Care Orders can be placed: </w:t>
      </w:r>
    </w:p>
    <w:p w14:paraId="230FDA63" w14:textId="77777777" w:rsidR="00B276CC" w:rsidRPr="00E40CD2" w:rsidRDefault="00B276CC" w:rsidP="00B276CC">
      <w:pPr>
        <w:pStyle w:val="Default"/>
        <w:spacing w:after="24"/>
      </w:pPr>
      <w:r w:rsidRPr="00E40CD2">
        <w:t xml:space="preserve"> Occ Therapy Inpatient Referral </w:t>
      </w:r>
    </w:p>
    <w:p w14:paraId="230FDA64" w14:textId="77777777" w:rsidR="00B276CC" w:rsidRPr="00E40CD2" w:rsidRDefault="00B276CC" w:rsidP="00B276CC">
      <w:pPr>
        <w:pStyle w:val="Default"/>
        <w:spacing w:after="24"/>
      </w:pPr>
      <w:r w:rsidRPr="00E40CD2">
        <w:t xml:space="preserve"> Occ Therapy Interface Referral </w:t>
      </w:r>
    </w:p>
    <w:p w14:paraId="230FDA65" w14:textId="77777777" w:rsidR="00B276CC" w:rsidRPr="00E40CD2" w:rsidRDefault="00B276CC" w:rsidP="00B276CC">
      <w:pPr>
        <w:pStyle w:val="Default"/>
        <w:spacing w:after="24"/>
      </w:pPr>
      <w:r w:rsidRPr="00E40CD2">
        <w:t xml:space="preserve"> Occ Therapy Orth Hand splint </w:t>
      </w:r>
    </w:p>
    <w:p w14:paraId="230FDA66" w14:textId="77777777" w:rsidR="00B276CC" w:rsidRPr="00E40CD2" w:rsidRDefault="00B276CC" w:rsidP="00B276CC">
      <w:pPr>
        <w:pStyle w:val="Default"/>
        <w:spacing w:after="24"/>
      </w:pPr>
      <w:r w:rsidRPr="00E40CD2">
        <w:t xml:space="preserve"> Occ Therapy Orth Limb Reconstruction </w:t>
      </w:r>
    </w:p>
    <w:p w14:paraId="230FDA67" w14:textId="77777777" w:rsidR="00B276CC" w:rsidRPr="00E40CD2" w:rsidRDefault="00B276CC" w:rsidP="00B276CC">
      <w:pPr>
        <w:pStyle w:val="Default"/>
        <w:spacing w:after="24"/>
      </w:pPr>
      <w:r w:rsidRPr="00E40CD2">
        <w:t xml:space="preserve"> Occ Therapy Orth PreOp Referral </w:t>
      </w:r>
    </w:p>
    <w:p w14:paraId="230FDA68" w14:textId="77777777" w:rsidR="00B276CC" w:rsidRPr="00E40CD2" w:rsidRDefault="00B276CC" w:rsidP="00B276CC">
      <w:pPr>
        <w:pStyle w:val="Default"/>
        <w:spacing w:after="24"/>
      </w:pPr>
      <w:r w:rsidRPr="00E40CD2">
        <w:t xml:space="preserve"> Occ Therapy Rheum Hand splint </w:t>
      </w:r>
    </w:p>
    <w:p w14:paraId="230FDA69" w14:textId="77777777" w:rsidR="00B276CC" w:rsidRPr="00E40CD2" w:rsidRDefault="00B276CC" w:rsidP="00B276CC">
      <w:pPr>
        <w:pStyle w:val="Default"/>
        <w:spacing w:after="24"/>
      </w:pPr>
      <w:r w:rsidRPr="00E40CD2">
        <w:t xml:space="preserve"> Physiotherapy Adult Referral </w:t>
      </w:r>
    </w:p>
    <w:p w14:paraId="230FDA6A" w14:textId="77777777" w:rsidR="00B276CC" w:rsidRPr="00E40CD2" w:rsidRDefault="00B276CC" w:rsidP="00B276CC">
      <w:pPr>
        <w:pStyle w:val="Default"/>
        <w:spacing w:after="24"/>
      </w:pPr>
      <w:r w:rsidRPr="00E40CD2">
        <w:t xml:space="preserve"> Physiotherapy Paed Referral </w:t>
      </w:r>
    </w:p>
    <w:p w14:paraId="230FDA6B" w14:textId="77777777" w:rsidR="00B276CC" w:rsidRPr="00E40CD2" w:rsidRDefault="00B276CC" w:rsidP="00B276CC">
      <w:pPr>
        <w:pStyle w:val="Default"/>
      </w:pPr>
      <w:r w:rsidRPr="00E40CD2">
        <w:t xml:space="preserve"> Speech and Language Adult Referral </w:t>
      </w:r>
    </w:p>
    <w:p w14:paraId="230FDA6C" w14:textId="77777777" w:rsidR="00B276CC" w:rsidRDefault="00B276CC" w:rsidP="00B276CC">
      <w:pPr>
        <w:pStyle w:val="Default"/>
      </w:pPr>
      <w:r w:rsidRPr="00E40CD2">
        <w:t xml:space="preserve">Department of Information Management and Technology- July 2015 Page 4 of 4 </w:t>
      </w:r>
    </w:p>
    <w:p w14:paraId="230FDA6D" w14:textId="77777777" w:rsidR="0017479F" w:rsidRDefault="0017479F" w:rsidP="00B276CC">
      <w:pPr>
        <w:pStyle w:val="Default"/>
        <w:rPr>
          <w:b/>
          <w:bCs/>
          <w:color w:val="auto"/>
        </w:rPr>
      </w:pPr>
    </w:p>
    <w:p w14:paraId="230FDA6E" w14:textId="77777777" w:rsidR="00B276CC" w:rsidRPr="00E40CD2" w:rsidRDefault="00B276CC" w:rsidP="00B276CC">
      <w:pPr>
        <w:pStyle w:val="Default"/>
        <w:rPr>
          <w:color w:val="auto"/>
        </w:rPr>
      </w:pPr>
      <w:r w:rsidRPr="00E40CD2">
        <w:rPr>
          <w:b/>
          <w:bCs/>
          <w:color w:val="auto"/>
        </w:rPr>
        <w:t xml:space="preserve">1.5 Entering an Order Set (Laboratory/Radiology) </w:t>
      </w:r>
    </w:p>
    <w:p w14:paraId="230FDA6F" w14:textId="77777777" w:rsidR="00B276CC" w:rsidRPr="00E40CD2" w:rsidRDefault="00B276CC" w:rsidP="00B276CC">
      <w:pPr>
        <w:pStyle w:val="Default"/>
        <w:rPr>
          <w:color w:val="auto"/>
        </w:rPr>
      </w:pPr>
    </w:p>
    <w:p w14:paraId="230FDA70" w14:textId="77777777" w:rsidR="00B276CC" w:rsidRPr="00E40CD2" w:rsidRDefault="00B276CC" w:rsidP="00B276CC">
      <w:pPr>
        <w:pStyle w:val="Default"/>
        <w:rPr>
          <w:color w:val="auto"/>
        </w:rPr>
      </w:pPr>
      <w:r w:rsidRPr="00E40CD2">
        <w:rPr>
          <w:color w:val="auto"/>
        </w:rPr>
        <w:t xml:space="preserve">When in the Orders or Ambulatory Orders function, there will be some functions in the header – one of which states </w:t>
      </w:r>
      <w:r w:rsidRPr="00E40CD2">
        <w:rPr>
          <w:b/>
          <w:bCs/>
          <w:color w:val="auto"/>
        </w:rPr>
        <w:t>New Sets</w:t>
      </w:r>
      <w:r w:rsidRPr="00E40CD2">
        <w:rPr>
          <w:color w:val="auto"/>
        </w:rPr>
        <w:t xml:space="preserve">. By default you will be entered into the Category routine, allowing you to select the appropriate set. </w:t>
      </w:r>
    </w:p>
    <w:p w14:paraId="230FDA71" w14:textId="77777777" w:rsidR="0017479F" w:rsidRDefault="00B276CC" w:rsidP="00B276CC">
      <w:pPr>
        <w:pStyle w:val="Default"/>
        <w:rPr>
          <w:color w:val="auto"/>
        </w:rPr>
      </w:pPr>
      <w:r w:rsidRPr="00E40CD2">
        <w:rPr>
          <w:color w:val="auto"/>
        </w:rPr>
        <w:lastRenderedPageBreak/>
        <w:t xml:space="preserve">The Order Sets are managed by the Laboratory or Radiology departments, however must be approved by the speciality they are appropriate for – usually via the Clinical Director in that area. </w:t>
      </w:r>
    </w:p>
    <w:p w14:paraId="230FDA72" w14:textId="77777777" w:rsidR="00B276CC" w:rsidRPr="00E40CD2" w:rsidRDefault="00B276CC" w:rsidP="00B276CC">
      <w:pPr>
        <w:pStyle w:val="Default"/>
        <w:rPr>
          <w:color w:val="auto"/>
        </w:rPr>
      </w:pPr>
      <w:r w:rsidRPr="00E40CD2">
        <w:rPr>
          <w:noProof/>
          <w:color w:val="auto"/>
          <w:lang w:eastAsia="en-GB"/>
        </w:rPr>
        <w:drawing>
          <wp:inline distT="0" distB="0" distL="0" distR="0" wp14:anchorId="230FDA8C" wp14:editId="230FDA8D">
            <wp:extent cx="5284470" cy="3176270"/>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84470" cy="3176270"/>
                    </a:xfrm>
                    <a:prstGeom prst="rect">
                      <a:avLst/>
                    </a:prstGeom>
                    <a:noFill/>
                    <a:ln>
                      <a:noFill/>
                    </a:ln>
                  </pic:spPr>
                </pic:pic>
              </a:graphicData>
            </a:graphic>
          </wp:inline>
        </w:drawing>
      </w:r>
    </w:p>
    <w:p w14:paraId="230FDA73" w14:textId="77777777" w:rsidR="00B276CC" w:rsidRDefault="00B276CC" w:rsidP="00B276CC">
      <w:pPr>
        <w:pStyle w:val="Default"/>
        <w:rPr>
          <w:color w:val="auto"/>
        </w:rPr>
      </w:pPr>
      <w:r w:rsidRPr="00E40CD2">
        <w:rPr>
          <w:color w:val="auto"/>
        </w:rPr>
        <w:t>Fig 1.10 – Order Sets selection by Category</w:t>
      </w:r>
    </w:p>
    <w:p w14:paraId="230FDA74" w14:textId="77777777" w:rsidR="00B276CC" w:rsidRPr="00E40CD2" w:rsidRDefault="00B276CC" w:rsidP="00B276CC">
      <w:pPr>
        <w:pStyle w:val="Default"/>
        <w:rPr>
          <w:color w:val="auto"/>
        </w:rPr>
      </w:pPr>
      <w:r w:rsidRPr="00E40CD2">
        <w:rPr>
          <w:color w:val="auto"/>
        </w:rPr>
        <w:t xml:space="preserve"> </w:t>
      </w:r>
    </w:p>
    <w:p w14:paraId="230FDA75" w14:textId="77777777" w:rsidR="00B276CC" w:rsidRPr="00E40CD2" w:rsidRDefault="00B276CC" w:rsidP="00B276CC">
      <w:pPr>
        <w:pStyle w:val="Default"/>
        <w:rPr>
          <w:color w:val="auto"/>
        </w:rPr>
      </w:pPr>
      <w:r w:rsidRPr="00E40CD2">
        <w:rPr>
          <w:color w:val="auto"/>
        </w:rPr>
        <w:t xml:space="preserve">Ordering an Order Set is very similar to a regular Order, in that you select the Set and choose next. Some data may already be defined, such as the priority of the order or responses to certain questions. </w:t>
      </w:r>
    </w:p>
    <w:p w14:paraId="230FDA76" w14:textId="77777777" w:rsidR="00B276CC" w:rsidRPr="00E40CD2" w:rsidRDefault="00B276CC" w:rsidP="00B276CC">
      <w:pPr>
        <w:pStyle w:val="Default"/>
        <w:rPr>
          <w:color w:val="auto"/>
        </w:rPr>
      </w:pPr>
      <w:r w:rsidRPr="00E40CD2">
        <w:rPr>
          <w:color w:val="auto"/>
        </w:rPr>
        <w:t xml:space="preserve">Once all relevant data has been populated, enter the order by selecting the Save button in the footer and enter your PIN. </w:t>
      </w:r>
    </w:p>
    <w:p w14:paraId="230FDA77" w14:textId="77777777" w:rsidR="00B276CC" w:rsidRPr="00E40CD2" w:rsidRDefault="00B276CC" w:rsidP="00B276CC">
      <w:pPr>
        <w:rPr>
          <w:rFonts w:ascii="Arial" w:hAnsi="Arial" w:cs="Arial"/>
          <w:sz w:val="24"/>
          <w:szCs w:val="24"/>
        </w:rPr>
      </w:pPr>
      <w:r w:rsidRPr="00E40CD2">
        <w:rPr>
          <w:rFonts w:ascii="Arial" w:hAnsi="Arial" w:cs="Arial"/>
          <w:sz w:val="24"/>
          <w:szCs w:val="24"/>
        </w:rPr>
        <w:t>After entering the Orders as an Order Set, the Orders will appear within the Current Orders as individual tests rather than under a heading of an Order Set.</w:t>
      </w:r>
    </w:p>
    <w:sectPr w:rsidR="00B276CC" w:rsidRPr="00E40CD2">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FDA90" w14:textId="77777777" w:rsidR="00B276CC" w:rsidRDefault="00B276CC" w:rsidP="00B276CC">
      <w:pPr>
        <w:spacing w:after="0" w:line="240" w:lineRule="auto"/>
      </w:pPr>
      <w:r>
        <w:separator/>
      </w:r>
    </w:p>
  </w:endnote>
  <w:endnote w:type="continuationSeparator" w:id="0">
    <w:p w14:paraId="230FDA91" w14:textId="77777777" w:rsidR="00B276CC" w:rsidRDefault="00B276CC" w:rsidP="00B27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3D981" w14:textId="77777777" w:rsidR="00B10CE6" w:rsidRDefault="00B10C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1276"/>
    </w:tblGrid>
    <w:tr w:rsidR="00E40CD2" w14:paraId="230FDA9F" w14:textId="77777777" w:rsidTr="00484EE4">
      <w:tc>
        <w:tcPr>
          <w:tcW w:w="6912" w:type="dxa"/>
          <w:shd w:val="clear" w:color="auto" w:fill="FF0000"/>
        </w:tcPr>
        <w:p w14:paraId="230FDA9B" w14:textId="77777777" w:rsidR="00E40CD2" w:rsidRPr="00627A31" w:rsidRDefault="00E40CD2" w:rsidP="00484EE4">
          <w:pPr>
            <w:pStyle w:val="Footer"/>
            <w:jc w:val="center"/>
            <w:rPr>
              <w:b/>
              <w:color w:val="FFFFFF"/>
            </w:rPr>
          </w:pPr>
          <w:r w:rsidRPr="00627A31">
            <w:rPr>
              <w:b/>
              <w:color w:val="FFFFFF"/>
            </w:rPr>
            <w:t>THIS IS A CONTROLLED DOCUMENT AND MUST NOT BE</w:t>
          </w:r>
        </w:p>
        <w:p w14:paraId="230FDA9C" w14:textId="77777777" w:rsidR="00E40CD2" w:rsidRPr="00627A31" w:rsidRDefault="00E40CD2" w:rsidP="00484EE4">
          <w:pPr>
            <w:pStyle w:val="Footer"/>
            <w:jc w:val="center"/>
            <w:rPr>
              <w:highlight w:val="yellow"/>
            </w:rPr>
          </w:pPr>
          <w:r w:rsidRPr="00627A31">
            <w:rPr>
              <w:b/>
              <w:color w:val="FFFFFF"/>
            </w:rPr>
            <w:t>COPIED OR DISTRIBUTED WITHOUT AUTHORISATION</w:t>
          </w:r>
        </w:p>
      </w:tc>
      <w:tc>
        <w:tcPr>
          <w:tcW w:w="1276" w:type="dxa"/>
          <w:shd w:val="clear" w:color="auto" w:fill="auto"/>
        </w:tcPr>
        <w:p w14:paraId="230FDA9D" w14:textId="77777777" w:rsidR="00E40CD2" w:rsidRPr="007C4F14" w:rsidRDefault="00E40CD2" w:rsidP="00484EE4">
          <w:pPr>
            <w:pStyle w:val="Footer"/>
            <w:jc w:val="center"/>
            <w:rPr>
              <w:b/>
              <w:color w:val="FFFFFF"/>
              <w:sz w:val="20"/>
              <w:szCs w:val="20"/>
            </w:rPr>
          </w:pPr>
          <w:r w:rsidRPr="007C4F14">
            <w:rPr>
              <w:sz w:val="20"/>
              <w:szCs w:val="20"/>
            </w:rPr>
            <w:t xml:space="preserve">Page </w:t>
          </w:r>
          <w:r w:rsidRPr="007C4F14">
            <w:rPr>
              <w:b/>
              <w:bCs/>
              <w:sz w:val="20"/>
              <w:szCs w:val="20"/>
            </w:rPr>
            <w:fldChar w:fldCharType="begin"/>
          </w:r>
          <w:r w:rsidRPr="007C4F14">
            <w:rPr>
              <w:b/>
              <w:bCs/>
              <w:sz w:val="20"/>
              <w:szCs w:val="20"/>
            </w:rPr>
            <w:instrText xml:space="preserve"> PAGE </w:instrText>
          </w:r>
          <w:r w:rsidRPr="007C4F14">
            <w:rPr>
              <w:b/>
              <w:bCs/>
              <w:sz w:val="20"/>
              <w:szCs w:val="20"/>
            </w:rPr>
            <w:fldChar w:fldCharType="separate"/>
          </w:r>
          <w:r w:rsidR="0017479F">
            <w:rPr>
              <w:b/>
              <w:bCs/>
              <w:noProof/>
              <w:sz w:val="20"/>
              <w:szCs w:val="20"/>
            </w:rPr>
            <w:t>1</w:t>
          </w:r>
          <w:r w:rsidRPr="007C4F14">
            <w:rPr>
              <w:b/>
              <w:bCs/>
              <w:sz w:val="20"/>
              <w:szCs w:val="20"/>
            </w:rPr>
            <w:fldChar w:fldCharType="end"/>
          </w:r>
          <w:r w:rsidRPr="007C4F14">
            <w:rPr>
              <w:sz w:val="20"/>
              <w:szCs w:val="20"/>
            </w:rPr>
            <w:t xml:space="preserve"> of </w:t>
          </w:r>
          <w:r w:rsidRPr="007C4F14">
            <w:rPr>
              <w:b/>
              <w:bCs/>
              <w:sz w:val="20"/>
              <w:szCs w:val="20"/>
            </w:rPr>
            <w:fldChar w:fldCharType="begin"/>
          </w:r>
          <w:r w:rsidRPr="007C4F14">
            <w:rPr>
              <w:b/>
              <w:bCs/>
              <w:sz w:val="20"/>
              <w:szCs w:val="20"/>
            </w:rPr>
            <w:instrText xml:space="preserve"> NUMPAGES  </w:instrText>
          </w:r>
          <w:r w:rsidRPr="007C4F14">
            <w:rPr>
              <w:b/>
              <w:bCs/>
              <w:sz w:val="20"/>
              <w:szCs w:val="20"/>
            </w:rPr>
            <w:fldChar w:fldCharType="separate"/>
          </w:r>
          <w:r w:rsidR="0017479F">
            <w:rPr>
              <w:b/>
              <w:bCs/>
              <w:noProof/>
              <w:sz w:val="20"/>
              <w:szCs w:val="20"/>
            </w:rPr>
            <w:t>7</w:t>
          </w:r>
          <w:r w:rsidRPr="007C4F14">
            <w:rPr>
              <w:b/>
              <w:bCs/>
              <w:sz w:val="20"/>
              <w:szCs w:val="20"/>
            </w:rPr>
            <w:fldChar w:fldCharType="end"/>
          </w:r>
        </w:p>
        <w:p w14:paraId="230FDA9E" w14:textId="77777777" w:rsidR="00E40CD2" w:rsidRPr="00F013E5" w:rsidRDefault="00E40CD2" w:rsidP="00484EE4">
          <w:pPr>
            <w:pStyle w:val="Footer"/>
            <w:jc w:val="center"/>
          </w:pPr>
        </w:p>
      </w:tc>
    </w:tr>
  </w:tbl>
  <w:p w14:paraId="230FDAA0" w14:textId="77777777" w:rsidR="00B276CC" w:rsidRDefault="00B276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2D511" w14:textId="77777777" w:rsidR="00B10CE6" w:rsidRDefault="00B10C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FDA8E" w14:textId="77777777" w:rsidR="00B276CC" w:rsidRDefault="00B276CC" w:rsidP="00B276CC">
      <w:pPr>
        <w:spacing w:after="0" w:line="240" w:lineRule="auto"/>
      </w:pPr>
      <w:r>
        <w:separator/>
      </w:r>
    </w:p>
  </w:footnote>
  <w:footnote w:type="continuationSeparator" w:id="0">
    <w:p w14:paraId="230FDA8F" w14:textId="77777777" w:rsidR="00B276CC" w:rsidRDefault="00B276CC" w:rsidP="00B276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30ADA" w14:textId="77777777" w:rsidR="00B10CE6" w:rsidRDefault="00B10C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3402"/>
    </w:tblGrid>
    <w:tr w:rsidR="00E40CD2" w14:paraId="230FDA93" w14:textId="77777777" w:rsidTr="00484EE4">
      <w:trPr>
        <w:trHeight w:val="840"/>
      </w:trPr>
      <w:tc>
        <w:tcPr>
          <w:tcW w:w="10065" w:type="dxa"/>
          <w:gridSpan w:val="2"/>
          <w:shd w:val="clear" w:color="auto" w:fill="auto"/>
        </w:tcPr>
        <w:p w14:paraId="230FDA92" w14:textId="77777777" w:rsidR="00E40CD2" w:rsidRDefault="00E40CD2" w:rsidP="00484EE4">
          <w:r>
            <w:t xml:space="preserve">                                                                                                   </w:t>
          </w:r>
          <w:r>
            <w:rPr>
              <w:noProof/>
              <w:lang w:eastAsia="en-GB"/>
            </w:rPr>
            <w:drawing>
              <wp:anchor distT="0" distB="0" distL="114300" distR="114300" simplePos="0" relativeHeight="251658240" behindDoc="0" locked="0" layoutInCell="1" allowOverlap="1" wp14:anchorId="230FDAA1" wp14:editId="230FDAA2">
                <wp:simplePos x="0" y="0"/>
                <wp:positionH relativeFrom="margin">
                  <wp:align>right</wp:align>
                </wp:positionH>
                <wp:positionV relativeFrom="margin">
                  <wp:align>top</wp:align>
                </wp:positionV>
                <wp:extent cx="1323975" cy="752475"/>
                <wp:effectExtent l="0" t="0" r="9525" b="9525"/>
                <wp:wrapSquare wrapText="bothSides"/>
                <wp:docPr id="12" name="Picture 12" descr="Path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tholog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7524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E40CD2" w14:paraId="230FDA96" w14:textId="77777777" w:rsidTr="00484EE4">
      <w:tc>
        <w:tcPr>
          <w:tcW w:w="6663" w:type="dxa"/>
          <w:shd w:val="clear" w:color="auto" w:fill="auto"/>
        </w:tcPr>
        <w:p w14:paraId="230FDA94" w14:textId="77777777" w:rsidR="00E40CD2" w:rsidRPr="00B17E9C" w:rsidRDefault="00E40CD2" w:rsidP="00E40CD2">
          <w:pPr>
            <w:tabs>
              <w:tab w:val="left" w:pos="2730"/>
            </w:tabs>
          </w:pPr>
          <w:r>
            <w:t>Document number: LM-PIT-TRA-003.UN</w:t>
          </w:r>
        </w:p>
      </w:tc>
      <w:tc>
        <w:tcPr>
          <w:tcW w:w="3402" w:type="dxa"/>
          <w:shd w:val="clear" w:color="auto" w:fill="auto"/>
        </w:tcPr>
        <w:p w14:paraId="230FDA95" w14:textId="082C664B" w:rsidR="00E40CD2" w:rsidRDefault="00E40CD2" w:rsidP="00484EE4">
          <w:r w:rsidRPr="00B17E9C">
            <w:t>Version:</w:t>
          </w:r>
          <w:r>
            <w:t>1.</w:t>
          </w:r>
          <w:r w:rsidR="00B10CE6">
            <w:t>1</w:t>
          </w:r>
        </w:p>
      </w:tc>
    </w:tr>
    <w:tr w:rsidR="00E40CD2" w14:paraId="230FDA99" w14:textId="77777777" w:rsidTr="00484EE4">
      <w:tc>
        <w:tcPr>
          <w:tcW w:w="6663" w:type="dxa"/>
          <w:shd w:val="clear" w:color="auto" w:fill="auto"/>
        </w:tcPr>
        <w:p w14:paraId="230FDA97" w14:textId="77777777" w:rsidR="00E40CD2" w:rsidRPr="000C04EC" w:rsidRDefault="00E40CD2" w:rsidP="00484EE4">
          <w:pPr>
            <w:jc w:val="center"/>
            <w:rPr>
              <w:sz w:val="48"/>
              <w:szCs w:val="48"/>
            </w:rPr>
          </w:pPr>
          <w:r>
            <w:rPr>
              <w:sz w:val="48"/>
              <w:szCs w:val="48"/>
            </w:rPr>
            <w:t>Ordering Overview in Order Management</w:t>
          </w:r>
        </w:p>
      </w:tc>
      <w:tc>
        <w:tcPr>
          <w:tcW w:w="3402" w:type="dxa"/>
          <w:shd w:val="clear" w:color="auto" w:fill="auto"/>
        </w:tcPr>
        <w:p w14:paraId="230FDA98" w14:textId="77777777" w:rsidR="00E40CD2" w:rsidRDefault="00E40CD2" w:rsidP="00484EE4">
          <w:r>
            <w:t>Copy No.1</w:t>
          </w:r>
        </w:p>
      </w:tc>
    </w:tr>
  </w:tbl>
  <w:p w14:paraId="230FDA9A" w14:textId="77777777" w:rsidR="00E40CD2" w:rsidRDefault="00E40C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1DF04" w14:textId="77777777" w:rsidR="00B10CE6" w:rsidRDefault="00B10C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6CC"/>
    <w:rsid w:val="0008617C"/>
    <w:rsid w:val="0017479F"/>
    <w:rsid w:val="0097636E"/>
    <w:rsid w:val="00B10CE6"/>
    <w:rsid w:val="00B276CC"/>
    <w:rsid w:val="00DF3248"/>
    <w:rsid w:val="00E40C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0FDA0A"/>
  <w15:docId w15:val="{57A30F70-E1E7-40DD-BBB8-8379A0B98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6CC"/>
  </w:style>
  <w:style w:type="paragraph" w:styleId="Heading2">
    <w:name w:val="heading 2"/>
    <w:basedOn w:val="Normal"/>
    <w:next w:val="Normal"/>
    <w:link w:val="Heading2Char"/>
    <w:qFormat/>
    <w:rsid w:val="00E40CD2"/>
    <w:pPr>
      <w:keepNext/>
      <w:spacing w:after="0" w:line="240" w:lineRule="auto"/>
      <w:outlineLvl w:val="1"/>
    </w:pPr>
    <w:rPr>
      <w:rFonts w:ascii="Arial" w:eastAsia="Times New Roman" w:hAnsi="Arial" w:cs="Arial"/>
      <w:b/>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276C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B276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6CC"/>
    <w:rPr>
      <w:rFonts w:ascii="Tahoma" w:hAnsi="Tahoma" w:cs="Tahoma"/>
      <w:sz w:val="16"/>
      <w:szCs w:val="16"/>
    </w:rPr>
  </w:style>
  <w:style w:type="paragraph" w:styleId="Header">
    <w:name w:val="header"/>
    <w:basedOn w:val="Normal"/>
    <w:link w:val="HeaderChar"/>
    <w:unhideWhenUsed/>
    <w:rsid w:val="00B276CC"/>
    <w:pPr>
      <w:tabs>
        <w:tab w:val="center" w:pos="4513"/>
        <w:tab w:val="right" w:pos="9026"/>
      </w:tabs>
      <w:spacing w:after="0" w:line="240" w:lineRule="auto"/>
    </w:pPr>
  </w:style>
  <w:style w:type="character" w:customStyle="1" w:styleId="HeaderChar">
    <w:name w:val="Header Char"/>
    <w:basedOn w:val="DefaultParagraphFont"/>
    <w:link w:val="Header"/>
    <w:rsid w:val="00B276CC"/>
  </w:style>
  <w:style w:type="paragraph" w:styleId="Footer">
    <w:name w:val="footer"/>
    <w:basedOn w:val="Normal"/>
    <w:link w:val="FooterChar"/>
    <w:uiPriority w:val="99"/>
    <w:unhideWhenUsed/>
    <w:rsid w:val="00B276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76CC"/>
  </w:style>
  <w:style w:type="table" w:styleId="TableGrid">
    <w:name w:val="Table Grid"/>
    <w:basedOn w:val="TableNormal"/>
    <w:uiPriority w:val="59"/>
    <w:rsid w:val="00B276C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E40CD2"/>
    <w:rPr>
      <w:rFonts w:ascii="Arial" w:eastAsia="Times New Roman" w:hAnsi="Arial" w:cs="Arial"/>
      <w:b/>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eader" Target="header3.xml"/><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11.emf"/><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emf"/><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10.emf"/><Relationship Id="rId23" Type="http://schemas.openxmlformats.org/officeDocument/2006/relationships/fontTable" Target="fontTable.xml"/><Relationship Id="rId10" Type="http://schemas.openxmlformats.org/officeDocument/2006/relationships/image" Target="media/image5.emf"/><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image" Target="media/image9.emf"/><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995</Words>
  <Characters>5678</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Miller Janice</dc:creator>
  <cp:lastModifiedBy>Miller Janice</cp:lastModifiedBy>
  <cp:revision>2</cp:revision>
  <dcterms:created xsi:type="dcterms:W3CDTF">2024-04-02T12:47:00Z</dcterms:created>
  <dcterms:modified xsi:type="dcterms:W3CDTF">2024-04-02T12:47:00Z</dcterms:modified>
</cp:coreProperties>
</file>